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128" w:rsidRPr="00753128" w:rsidRDefault="00753128" w:rsidP="00753128">
      <w:pPr>
        <w:shd w:val="clear" w:color="auto" w:fill="FFFFFF"/>
        <w:spacing w:before="150" w:after="150" w:line="240" w:lineRule="auto"/>
        <w:jc w:val="center"/>
        <w:outlineLvl w:val="0"/>
        <w:rPr>
          <w:rFonts w:ascii="Segoe UI" w:eastAsia="Times New Roman" w:hAnsi="Segoe UI" w:cs="Segoe UI"/>
          <w:color w:val="555555"/>
          <w:kern w:val="36"/>
          <w:sz w:val="36"/>
          <w:szCs w:val="36"/>
          <w:lang w:eastAsia="ru-RU"/>
        </w:rPr>
      </w:pPr>
      <w:bookmarkStart w:id="0" w:name="_GoBack"/>
      <w:r w:rsidRPr="00753128">
        <w:rPr>
          <w:rFonts w:ascii="Segoe UI" w:eastAsia="Times New Roman" w:hAnsi="Segoe UI" w:cs="Segoe UI"/>
          <w:color w:val="555555"/>
          <w:kern w:val="36"/>
          <w:sz w:val="36"/>
          <w:szCs w:val="36"/>
          <w:lang w:eastAsia="ru-RU"/>
        </w:rPr>
        <w:t xml:space="preserve">Перечень индикаторов риска </w:t>
      </w:r>
      <w:bookmarkEnd w:id="0"/>
      <w:r w:rsidRPr="00753128">
        <w:rPr>
          <w:rFonts w:ascii="Segoe UI" w:eastAsia="Times New Roman" w:hAnsi="Segoe UI" w:cs="Segoe UI"/>
          <w:color w:val="555555"/>
          <w:kern w:val="36"/>
          <w:sz w:val="36"/>
          <w:szCs w:val="36"/>
          <w:lang w:eastAsia="ru-RU"/>
        </w:rPr>
        <w:t>нарушения обязательных требований, порядок отнесения объектов контроля к категориям риска</w:t>
      </w:r>
    </w:p>
    <w:p w:rsidR="00753128" w:rsidRPr="00753128" w:rsidRDefault="00753128" w:rsidP="00753128">
      <w:pPr>
        <w:shd w:val="clear" w:color="auto" w:fill="FFFFFF"/>
        <w:spacing w:after="150" w:line="240" w:lineRule="auto"/>
        <w:rPr>
          <w:rFonts w:ascii="Segoe UI" w:eastAsia="Times New Roman" w:hAnsi="Segoe UI" w:cs="Segoe UI"/>
          <w:color w:val="555555"/>
          <w:sz w:val="21"/>
          <w:szCs w:val="21"/>
          <w:lang w:eastAsia="ru-RU"/>
        </w:rPr>
      </w:pPr>
      <w:hyperlink r:id="rId5" w:history="1">
        <w:r w:rsidRPr="00753128">
          <w:rPr>
            <w:rFonts w:ascii="Segoe UI" w:eastAsia="Times New Roman" w:hAnsi="Segoe UI" w:cs="Segoe UI"/>
            <w:b/>
            <w:bCs/>
            <w:color w:val="2FA4E7"/>
            <w:sz w:val="21"/>
            <w:szCs w:val="21"/>
            <w:lang w:eastAsia="ru-RU"/>
          </w:rPr>
          <w:t>Федеральный закон от 31.07.2020 N 248-ФЗ (ред. от 06.12.2021) “О государственном контроле (надзоре) и муниципальном контроле в Российской Федерации” (с изм. и доп., вступ. в силу с 01.01.2022)</w:t>
        </w:r>
      </w:hyperlink>
    </w:p>
    <w:p w:rsidR="00753128" w:rsidRPr="00753128" w:rsidRDefault="00753128" w:rsidP="00753128">
      <w:pPr>
        <w:shd w:val="clear" w:color="auto" w:fill="FFFFFF"/>
        <w:spacing w:after="150"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Статья 23. Категории риска причинения вреда (ущерба) и индикаторы риска нарушения обязательных требований</w:t>
      </w:r>
    </w:p>
    <w:p w:rsidR="00753128" w:rsidRPr="00753128" w:rsidRDefault="00753128" w:rsidP="00753128">
      <w:pPr>
        <w:numPr>
          <w:ilvl w:val="0"/>
          <w:numId w:val="1"/>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753128" w:rsidRPr="00753128" w:rsidRDefault="00753128" w:rsidP="00753128">
      <w:pPr>
        <w:shd w:val="clear" w:color="auto" w:fill="FFFFFF"/>
        <w:spacing w:after="150"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1) чрезвычайно высокий риск;</w:t>
      </w:r>
    </w:p>
    <w:p w:rsidR="00753128" w:rsidRPr="00753128" w:rsidRDefault="00753128" w:rsidP="00753128">
      <w:pPr>
        <w:shd w:val="clear" w:color="auto" w:fill="FFFFFF"/>
        <w:spacing w:after="150"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2) высокий риск;</w:t>
      </w:r>
    </w:p>
    <w:p w:rsidR="00753128" w:rsidRPr="00753128" w:rsidRDefault="00753128" w:rsidP="00753128">
      <w:pPr>
        <w:shd w:val="clear" w:color="auto" w:fill="FFFFFF"/>
        <w:spacing w:after="150"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3) значительный риск;</w:t>
      </w:r>
    </w:p>
    <w:p w:rsidR="00753128" w:rsidRPr="00753128" w:rsidRDefault="00753128" w:rsidP="00753128">
      <w:pPr>
        <w:shd w:val="clear" w:color="auto" w:fill="FFFFFF"/>
        <w:spacing w:after="150"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4) средний риск;</w:t>
      </w:r>
    </w:p>
    <w:p w:rsidR="00753128" w:rsidRPr="00753128" w:rsidRDefault="00753128" w:rsidP="00753128">
      <w:pPr>
        <w:shd w:val="clear" w:color="auto" w:fill="FFFFFF"/>
        <w:spacing w:after="150"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5) умеренный риск;</w:t>
      </w:r>
    </w:p>
    <w:p w:rsidR="00753128" w:rsidRPr="00753128" w:rsidRDefault="00753128" w:rsidP="00753128">
      <w:pPr>
        <w:shd w:val="clear" w:color="auto" w:fill="FFFFFF"/>
        <w:spacing w:after="150"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6) низкий риск.</w:t>
      </w:r>
    </w:p>
    <w:p w:rsidR="00753128" w:rsidRPr="00753128" w:rsidRDefault="00753128" w:rsidP="00753128">
      <w:pPr>
        <w:numPr>
          <w:ilvl w:val="0"/>
          <w:numId w:val="2"/>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753128" w:rsidRPr="00753128" w:rsidRDefault="00753128" w:rsidP="00753128">
      <w:pPr>
        <w:numPr>
          <w:ilvl w:val="0"/>
          <w:numId w:val="2"/>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753128" w:rsidRPr="00753128" w:rsidRDefault="00753128" w:rsidP="00753128">
      <w:pPr>
        <w:numPr>
          <w:ilvl w:val="0"/>
          <w:numId w:val="2"/>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753128" w:rsidRPr="00753128" w:rsidRDefault="00753128" w:rsidP="00753128">
      <w:pPr>
        <w:numPr>
          <w:ilvl w:val="0"/>
          <w:numId w:val="2"/>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753128" w:rsidRPr="00753128" w:rsidRDefault="00753128" w:rsidP="00753128">
      <w:pPr>
        <w:numPr>
          <w:ilvl w:val="0"/>
          <w:numId w:val="2"/>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 xml:space="preserve">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w:t>
      </w:r>
      <w:r w:rsidRPr="00753128">
        <w:rPr>
          <w:rFonts w:ascii="Segoe UI" w:eastAsia="Times New Roman" w:hAnsi="Segoe UI" w:cs="Segoe UI"/>
          <w:color w:val="555555"/>
          <w:sz w:val="21"/>
          <w:szCs w:val="21"/>
          <w:lang w:eastAsia="ru-RU"/>
        </w:rPr>
        <w:lastRenderedPageBreak/>
        <w:t>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753128" w:rsidRPr="00753128" w:rsidRDefault="00753128" w:rsidP="00753128">
      <w:pPr>
        <w:numPr>
          <w:ilvl w:val="0"/>
          <w:numId w:val="2"/>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При определении критериев риска оценка добросовестности контролируемых лиц проводится с учетом следующих сведений (при их наличии):</w:t>
      </w:r>
    </w:p>
    <w:p w:rsidR="00753128" w:rsidRPr="00753128" w:rsidRDefault="00753128" w:rsidP="00753128">
      <w:pPr>
        <w:shd w:val="clear" w:color="auto" w:fill="FFFFFF"/>
        <w:spacing w:after="150"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753128" w:rsidRPr="00753128" w:rsidRDefault="00753128" w:rsidP="00753128">
      <w:pPr>
        <w:shd w:val="clear" w:color="auto" w:fill="FFFFFF"/>
        <w:spacing w:after="150"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2) наличие внедренных сертифицированных систем внутреннего контроля в соответствующей сфере деятельности;</w:t>
      </w:r>
    </w:p>
    <w:p w:rsidR="00753128" w:rsidRPr="00753128" w:rsidRDefault="00753128" w:rsidP="00753128">
      <w:pPr>
        <w:shd w:val="clear" w:color="auto" w:fill="FFFFFF"/>
        <w:spacing w:after="150"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3) предоставление контролируемым лицом доступа контрольному (надзорному) органу к своим информационным ресурсам;</w:t>
      </w:r>
    </w:p>
    <w:p w:rsidR="00753128" w:rsidRPr="00753128" w:rsidRDefault="00753128" w:rsidP="00753128">
      <w:pPr>
        <w:shd w:val="clear" w:color="auto" w:fill="FFFFFF"/>
        <w:spacing w:after="150"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4) независимая оценка соблюдения обязательных требований;</w:t>
      </w:r>
    </w:p>
    <w:p w:rsidR="00753128" w:rsidRPr="00753128" w:rsidRDefault="00753128" w:rsidP="00753128">
      <w:pPr>
        <w:shd w:val="clear" w:color="auto" w:fill="FFFFFF"/>
        <w:spacing w:after="150"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5) добровольная сертификация, подтверждающая повышенный необходимый уровень безопасности охраняемых законом ценностей;</w:t>
      </w:r>
    </w:p>
    <w:p w:rsidR="00753128" w:rsidRPr="00753128" w:rsidRDefault="00753128" w:rsidP="00753128">
      <w:pPr>
        <w:shd w:val="clear" w:color="auto" w:fill="FFFFFF"/>
        <w:spacing w:after="150"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53128" w:rsidRPr="00753128" w:rsidRDefault="00753128" w:rsidP="00753128">
      <w:pPr>
        <w:numPr>
          <w:ilvl w:val="0"/>
          <w:numId w:val="3"/>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753128" w:rsidRPr="00753128" w:rsidRDefault="00753128" w:rsidP="00753128">
      <w:pPr>
        <w:numPr>
          <w:ilvl w:val="0"/>
          <w:numId w:val="3"/>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53128" w:rsidRPr="00753128" w:rsidRDefault="00753128" w:rsidP="00753128">
      <w:pPr>
        <w:numPr>
          <w:ilvl w:val="0"/>
          <w:numId w:val="3"/>
        </w:numPr>
        <w:shd w:val="clear" w:color="auto" w:fill="FFFFFF"/>
        <w:spacing w:before="100" w:beforeAutospacing="1" w:after="100" w:afterAutospacing="1" w:line="240" w:lineRule="auto"/>
        <w:rPr>
          <w:rFonts w:ascii="Segoe UI" w:eastAsia="Times New Roman" w:hAnsi="Segoe UI" w:cs="Segoe UI"/>
          <w:color w:val="555555"/>
          <w:sz w:val="21"/>
          <w:szCs w:val="21"/>
          <w:lang w:eastAsia="ru-RU"/>
        </w:rPr>
      </w:pPr>
      <w:hyperlink r:id="rId6" w:anchor="dst100924" w:history="1">
        <w:proofErr w:type="spellStart"/>
        <w:r w:rsidRPr="00753128">
          <w:rPr>
            <w:rFonts w:ascii="Segoe UI" w:eastAsia="Times New Roman" w:hAnsi="Segoe UI" w:cs="Segoe UI"/>
            <w:color w:val="2FA4E7"/>
            <w:sz w:val="21"/>
            <w:szCs w:val="21"/>
            <w:u w:val="single"/>
            <w:lang w:eastAsia="ru-RU"/>
          </w:rPr>
          <w:t>Перечень</w:t>
        </w:r>
      </w:hyperlink>
      <w:r w:rsidRPr="00753128">
        <w:rPr>
          <w:rFonts w:ascii="Segoe UI" w:eastAsia="Times New Roman" w:hAnsi="Segoe UI" w:cs="Segoe UI"/>
          <w:color w:val="555555"/>
          <w:sz w:val="21"/>
          <w:szCs w:val="21"/>
          <w:lang w:eastAsia="ru-RU"/>
        </w:rPr>
        <w:t>индикаторов</w:t>
      </w:r>
      <w:proofErr w:type="spellEnd"/>
      <w:r w:rsidRPr="00753128">
        <w:rPr>
          <w:rFonts w:ascii="Segoe UI" w:eastAsia="Times New Roman" w:hAnsi="Segoe UI" w:cs="Segoe UI"/>
          <w:color w:val="555555"/>
          <w:sz w:val="21"/>
          <w:szCs w:val="21"/>
          <w:lang w:eastAsia="ru-RU"/>
        </w:rPr>
        <w:t xml:space="preserve"> риска нарушения обязательных требований по видам контроля утверждается:</w:t>
      </w:r>
    </w:p>
    <w:p w:rsidR="00753128" w:rsidRPr="00753128" w:rsidRDefault="00753128" w:rsidP="00753128">
      <w:pPr>
        <w:shd w:val="clear" w:color="auto" w:fill="FFFFFF"/>
        <w:spacing w:after="150"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(в ред. Федерального </w:t>
      </w:r>
      <w:hyperlink r:id="rId7" w:anchor="dst103683" w:history="1">
        <w:r w:rsidRPr="00753128">
          <w:rPr>
            <w:rFonts w:ascii="Segoe UI" w:eastAsia="Times New Roman" w:hAnsi="Segoe UI" w:cs="Segoe UI"/>
            <w:color w:val="2FA4E7"/>
            <w:sz w:val="21"/>
            <w:szCs w:val="21"/>
            <w:u w:val="single"/>
            <w:lang w:eastAsia="ru-RU"/>
          </w:rPr>
          <w:t>закона</w:t>
        </w:r>
      </w:hyperlink>
      <w:r w:rsidRPr="00753128">
        <w:rPr>
          <w:rFonts w:ascii="Segoe UI" w:eastAsia="Times New Roman" w:hAnsi="Segoe UI" w:cs="Segoe UI"/>
          <w:color w:val="555555"/>
          <w:sz w:val="21"/>
          <w:szCs w:val="21"/>
          <w:lang w:eastAsia="ru-RU"/>
        </w:rPr>
        <w:t> от 11.06.2021 N 170-ФЗ)</w:t>
      </w:r>
    </w:p>
    <w:p w:rsidR="00753128" w:rsidRPr="00753128" w:rsidRDefault="00753128" w:rsidP="00753128">
      <w:pPr>
        <w:shd w:val="clear" w:color="auto" w:fill="FFFFFF"/>
        <w:spacing w:after="150"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(см. текст в предыдущей </w:t>
      </w:r>
      <w:hyperlink r:id="rId8" w:history="1">
        <w:r w:rsidRPr="00753128">
          <w:rPr>
            <w:rFonts w:ascii="Segoe UI" w:eastAsia="Times New Roman" w:hAnsi="Segoe UI" w:cs="Segoe UI"/>
            <w:color w:val="2FA4E7"/>
            <w:sz w:val="21"/>
            <w:szCs w:val="21"/>
            <w:u w:val="single"/>
            <w:lang w:eastAsia="ru-RU"/>
          </w:rPr>
          <w:t>редакции</w:t>
        </w:r>
      </w:hyperlink>
      <w:r w:rsidRPr="00753128">
        <w:rPr>
          <w:rFonts w:ascii="Segoe UI" w:eastAsia="Times New Roman" w:hAnsi="Segoe UI" w:cs="Segoe UI"/>
          <w:color w:val="555555"/>
          <w:sz w:val="21"/>
          <w:szCs w:val="21"/>
          <w:lang w:eastAsia="ru-RU"/>
        </w:rPr>
        <w:t>)</w:t>
      </w:r>
    </w:p>
    <w:p w:rsidR="00753128" w:rsidRPr="00753128" w:rsidRDefault="00753128" w:rsidP="00753128">
      <w:pPr>
        <w:shd w:val="clear" w:color="auto" w:fill="FFFFFF"/>
        <w:spacing w:after="150"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53128" w:rsidRPr="00753128" w:rsidRDefault="00753128" w:rsidP="00753128">
      <w:pPr>
        <w:shd w:val="clear" w:color="auto" w:fill="FFFFFF"/>
        <w:spacing w:after="150"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lastRenderedPageBreak/>
        <w:t>2) для вида регионального контроля – высшим исполнительным органом государственной власти субъекта Российской Федерации;</w:t>
      </w:r>
    </w:p>
    <w:p w:rsidR="00753128" w:rsidRPr="00753128" w:rsidRDefault="00753128" w:rsidP="00753128">
      <w:pPr>
        <w:shd w:val="clear" w:color="auto" w:fill="FFFFFF"/>
        <w:spacing w:after="150" w:line="240" w:lineRule="auto"/>
        <w:rPr>
          <w:rFonts w:ascii="Segoe UI" w:eastAsia="Times New Roman" w:hAnsi="Segoe UI" w:cs="Segoe UI"/>
          <w:color w:val="555555"/>
          <w:sz w:val="21"/>
          <w:szCs w:val="21"/>
          <w:lang w:eastAsia="ru-RU"/>
        </w:rPr>
      </w:pPr>
      <w:r w:rsidRPr="00753128">
        <w:rPr>
          <w:rFonts w:ascii="Segoe UI" w:eastAsia="Times New Roman" w:hAnsi="Segoe UI" w:cs="Segoe UI"/>
          <w:color w:val="555555"/>
          <w:sz w:val="21"/>
          <w:szCs w:val="21"/>
          <w:lang w:eastAsia="ru-RU"/>
        </w:rPr>
        <w:t>3) для вида муниципального контроля – представительным органом муниципального образования.</w:t>
      </w:r>
    </w:p>
    <w:p w:rsidR="00EC633E" w:rsidRDefault="00753128"/>
    <w:sectPr w:rsidR="00EC6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FE0"/>
    <w:multiLevelType w:val="multilevel"/>
    <w:tmpl w:val="E5186C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B35E6F"/>
    <w:multiLevelType w:val="multilevel"/>
    <w:tmpl w:val="4C10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E72545"/>
    <w:multiLevelType w:val="multilevel"/>
    <w:tmpl w:val="132611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63"/>
    <w:rsid w:val="005F0C18"/>
    <w:rsid w:val="00613763"/>
    <w:rsid w:val="00753128"/>
    <w:rsid w:val="00876833"/>
    <w:rsid w:val="00932D86"/>
    <w:rsid w:val="00CB2363"/>
    <w:rsid w:val="00F30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F9CB3-9E5C-4316-BC2A-01C8FF26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777908">
      <w:bodyDiv w:val="1"/>
      <w:marLeft w:val="0"/>
      <w:marRight w:val="0"/>
      <w:marTop w:val="0"/>
      <w:marBottom w:val="0"/>
      <w:divBdr>
        <w:top w:val="none" w:sz="0" w:space="0" w:color="auto"/>
        <w:left w:val="none" w:sz="0" w:space="0" w:color="auto"/>
        <w:bottom w:val="none" w:sz="0" w:space="0" w:color="auto"/>
        <w:right w:val="none" w:sz="0" w:space="0" w:color="auto"/>
      </w:divBdr>
      <w:divsChild>
        <w:div w:id="1734347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750/8d5291a9c93fe43e18e2ab021445409d4bbe65a7/" TargetMode="External"/><Relationship Id="rId3" Type="http://schemas.openxmlformats.org/officeDocument/2006/relationships/settings" Target="settings.xml"/><Relationship Id="rId7" Type="http://schemas.openxmlformats.org/officeDocument/2006/relationships/hyperlink" Target="http://www.consultant.ru/document/cons_doc_LAW_386909/01e9ff03890d5d9fd7cd5e3922826572c04cf2f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13122/" TargetMode="External"/><Relationship Id="rId5" Type="http://schemas.openxmlformats.org/officeDocument/2006/relationships/hyperlink" Target="http://www.consultant.ru/document/cons_doc_LAW_35875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2024-07-11T10:14:00Z</dcterms:created>
  <dcterms:modified xsi:type="dcterms:W3CDTF">2024-07-11T10:15:00Z</dcterms:modified>
</cp:coreProperties>
</file>